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90" w:rsidRDefault="00A15690" w:rsidP="00A1569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 ПИТАНЬ</w:t>
      </w:r>
    </w:p>
    <w:p w:rsidR="00A15690" w:rsidRPr="005E36D9" w:rsidRDefault="00A15690" w:rsidP="00A1569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ВХІДНОГО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ВИХІДНОГО </w:t>
      </w:r>
      <w:r w:rsidRPr="005E3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КОНТРОЛЮ</w:t>
      </w:r>
    </w:p>
    <w:p w:rsidR="00A15690" w:rsidRPr="003263A5" w:rsidRDefault="00A15690" w:rsidP="00A15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кваліфікації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судових експертів секторів авто технічних досліджень відділів інженерних, економічних, товарознавчих видів досліджень та оціночної діяльності</w:t>
      </w:r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науково-дослідних</w:t>
      </w:r>
    </w:p>
    <w:p w:rsidR="00A15690" w:rsidRPr="003263A5" w:rsidRDefault="00A15690" w:rsidP="00A15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експертно-криміналістичних центрів </w:t>
      </w:r>
      <w:bookmarkStart w:id="0" w:name="_GoBack"/>
      <w:bookmarkEnd w:id="0"/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МВС України</w:t>
      </w:r>
    </w:p>
    <w:p w:rsidR="00A15690" w:rsidRDefault="00A15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2303">
        <w:rPr>
          <w:rFonts w:ascii="Times New Roman" w:hAnsi="Times New Roman" w:cs="Times New Roman"/>
          <w:sz w:val="28"/>
          <w:szCs w:val="28"/>
          <w:lang w:eastAsia="uk-UA"/>
        </w:rPr>
        <w:t>Правова основа діяльності судового експерта.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2303">
        <w:rPr>
          <w:rFonts w:ascii="Times New Roman" w:hAnsi="Times New Roman" w:cs="Times New Roman"/>
          <w:sz w:val="28"/>
          <w:szCs w:val="28"/>
          <w:lang w:eastAsia="uk-UA"/>
        </w:rPr>
        <w:t>Основні завдання Експертної служби МВС України.</w:t>
      </w:r>
    </w:p>
    <w:p w:rsidR="007155BF" w:rsidRPr="00932303" w:rsidRDefault="007155BF">
      <w:pPr>
        <w:pStyle w:val="aa"/>
        <w:numPr>
          <w:ilvl w:val="0"/>
          <w:numId w:val="31"/>
        </w:numPr>
        <w:tabs>
          <w:tab w:val="left" w:pos="289"/>
          <w:tab w:val="left" w:pos="993"/>
        </w:tabs>
        <w:ind w:left="0" w:firstLine="709"/>
        <w:jc w:val="both"/>
        <w:rPr>
          <w:b w:val="0"/>
          <w:bCs w:val="0"/>
          <w:lang w:eastAsia="uk-UA"/>
        </w:rPr>
      </w:pPr>
      <w:r w:rsidRPr="00932303">
        <w:rPr>
          <w:b w:val="0"/>
          <w:bCs w:val="0"/>
          <w:lang w:eastAsia="uk-UA"/>
        </w:rPr>
        <w:t>Права експерта при проведенні експертизи.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2303">
        <w:rPr>
          <w:rFonts w:ascii="Times New Roman" w:hAnsi="Times New Roman" w:cs="Times New Roman"/>
          <w:sz w:val="28"/>
          <w:szCs w:val="28"/>
          <w:lang w:eastAsia="uk-UA"/>
        </w:rPr>
        <w:t>Акредитація експертних лабораторій.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>Правова основа діяльності Експертної служби МВС України.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>Експерт у кримінальному провадженні.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>Права експерта у кримінальному провадженні.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>Обов’язки експерта у кримінальному провадженні.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>Відповідальність експерта.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>Спеціаліст у кримінальному провадженні.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>Права спеціаліста у кримінальному провадженні.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>Обов’язки спеціаліста у кримінальному провадженні.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>Відповідальність спеціаліста.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>Обставини, що виключають участь спеціаліста, експерта в кримінальному провадженні.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 xml:space="preserve">Порядок вирішення питання про відвід спеціаліста, експерта. 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>Підстави проведення експертизи.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 xml:space="preserve">Порядок залучення експерта. 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 xml:space="preserve">Висновок експерта: сутність, структура, зміст. 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>Допит експерта: підстави його проведення.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32303">
        <w:rPr>
          <w:rFonts w:ascii="Times New Roman" w:hAnsi="Times New Roman" w:cs="Times New Roman"/>
          <w:spacing w:val="-4"/>
          <w:sz w:val="28"/>
          <w:szCs w:val="28"/>
        </w:rPr>
        <w:t>Процесуальний порядок допиту експерта у кримінальному провадженні.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>Отримання зразків для експертного дослідження.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>Порядок залучення спеціалізованої пересувної лабораторії Експертної служби МВС України для участі у проведенні огляду місця події.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 xml:space="preserve">Процесуальні форми взаємодії працівників Експертної служби МВС України з органами досудового розслідування та судом. </w:t>
      </w:r>
    </w:p>
    <w:p w:rsidR="007155BF" w:rsidRPr="00932303" w:rsidRDefault="007155BF">
      <w:pPr>
        <w:pStyle w:val="11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32303">
        <w:rPr>
          <w:sz w:val="28"/>
          <w:szCs w:val="28"/>
          <w:lang w:val="uk-UA"/>
        </w:rPr>
        <w:t>Близькі особи у розумінні антикорупційного законодавства.</w:t>
      </w:r>
    </w:p>
    <w:p w:rsidR="007155BF" w:rsidRPr="00932303" w:rsidRDefault="007155BF">
      <w:pPr>
        <w:pStyle w:val="11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32303">
        <w:rPr>
          <w:sz w:val="28"/>
          <w:szCs w:val="28"/>
          <w:lang w:val="uk-UA"/>
        </w:rPr>
        <w:t>Подарунки, які можуть приймати особи, уповноважені на виконання функцій держави.</w:t>
      </w:r>
    </w:p>
    <w:p w:rsidR="007155BF" w:rsidRPr="00932303" w:rsidRDefault="007155BF">
      <w:pPr>
        <w:pStyle w:val="11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32303">
        <w:rPr>
          <w:sz w:val="28"/>
          <w:szCs w:val="28"/>
          <w:lang w:val="uk-UA"/>
        </w:rPr>
        <w:t>Дії особи, яка виявила у своєму службовому приміщенні чи отримала майно, що може бути неправомірною вигодою або подарунком.</w:t>
      </w:r>
    </w:p>
    <w:p w:rsidR="007155BF" w:rsidRPr="00932303" w:rsidRDefault="007155BF">
      <w:pPr>
        <w:pStyle w:val="11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32303">
        <w:rPr>
          <w:sz w:val="28"/>
          <w:szCs w:val="28"/>
          <w:lang w:val="uk-UA"/>
        </w:rPr>
        <w:t>Обмеження осіб, уповноважених на виконання функцій держави або місцевого самоврядування, займатися іншими видами оплачуваної діяльності.</w:t>
      </w:r>
    </w:p>
    <w:p w:rsidR="007155BF" w:rsidRPr="00932303" w:rsidRDefault="007155BF">
      <w:pPr>
        <w:pStyle w:val="a3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32303">
        <w:rPr>
          <w:rFonts w:ascii="Times New Roman" w:hAnsi="Times New Roman" w:cs="Times New Roman"/>
          <w:sz w:val="28"/>
          <w:szCs w:val="28"/>
          <w:lang w:eastAsia="ru-RU"/>
        </w:rPr>
        <w:t>Поняття трудового договору та його види.</w:t>
      </w:r>
    </w:p>
    <w:p w:rsidR="007155BF" w:rsidRPr="00932303" w:rsidRDefault="007155BF">
      <w:pPr>
        <w:pStyle w:val="a3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32303">
        <w:rPr>
          <w:rFonts w:ascii="Times New Roman" w:hAnsi="Times New Roman" w:cs="Times New Roman"/>
          <w:sz w:val="28"/>
          <w:szCs w:val="28"/>
          <w:lang w:eastAsia="ru-RU"/>
        </w:rPr>
        <w:t>Порядок звільнення працівника.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lastRenderedPageBreak/>
        <w:t>Принцип верховенства права та його реалізація в судово-експертній діяльності.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>Повага до людської гідності.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03">
        <w:rPr>
          <w:rFonts w:ascii="Times New Roman" w:hAnsi="Times New Roman" w:cs="Times New Roman"/>
          <w:sz w:val="28"/>
          <w:szCs w:val="28"/>
        </w:rPr>
        <w:t>Термін надання відповіді на запит про доступ до публічної інформації.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2303">
        <w:rPr>
          <w:rFonts w:ascii="Times New Roman" w:hAnsi="Times New Roman" w:cs="Times New Roman"/>
          <w:sz w:val="28"/>
          <w:szCs w:val="28"/>
        </w:rPr>
        <w:t>Якщо в постанові слідчого про призначення судової експертизи та супровідному документі до постанови зазначено, що в розпорядження судовим експертам направити матеріали кримінального провадження та об’єкт дослідження, але фактично об’єкт дослідження відсутній, керівник відділу (сектору), якому доручено організування виконання судової експертизи повинен.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Спеціалізована пересувна </w:t>
      </w:r>
      <w:proofErr w:type="spellStart"/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автотехнічна</w:t>
      </w:r>
      <w:proofErr w:type="spellEnd"/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лабораторія Експертної служби МВС </w:t>
      </w:r>
      <w:bookmarkStart w:id="1" w:name="OLE_LINK21"/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Інструкції про порядок залучення працівників органів досудового розслідування поліції та Експертної служби МВС України як спеціалістів для участі в проведенні огляду місця події, затвердженої наказом МВС України від 03 листопада 2015 року № 1339, </w:t>
      </w:r>
      <w:bookmarkEnd w:id="1"/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 залучатися до участі у проведенні огляду місця дорожньо-транспортної пригоди в кримінальному провадженні в разі виникнення об’єктивних обставин, пов’язаних зі вчиненням.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Інструкції про порядок залучення працівників органів досудового розслідування поліції та Експертної служби МВС України як спеціалістів для участі в проведенні огляду місця події, затвердженої наказом МВС України від 03 листопада 2015 року № 1339, до участі у проведенні огляду місця дорожньо-транспортної пригоди, під час якої загинуло двоє і більше осіб або госпіталізовано до медичних закладів п’ятеро і більше осіб, спеціалізована пересувна </w:t>
      </w:r>
      <w:proofErr w:type="spellStart"/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автотехнічна</w:t>
      </w:r>
      <w:proofErr w:type="spellEnd"/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лабораторія Експертної служби МВС України може залучатися.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Проведення огляду місця дорожньо-транспортної пригоди, унаслідок якої її учасникам спричинено тілесні ушкодження, складання протоколу та схеми доручається.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роботи працівників Експертної служби МВС, залучених до роботи у спеціалізованій пересувній </w:t>
      </w:r>
      <w:proofErr w:type="spellStart"/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автотехнічній</w:t>
      </w:r>
      <w:proofErr w:type="spellEnd"/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лабораторіях, та комплектація лабораторій спеціальними технічними засобами відповідно до Інструкції про порядок залучення працівників органів досудового розслідування поліції та Експертної служби МВС України як спеціалістів для участі в проведенні огляду місця події, затвердженої наказом МВС України від 03 листопада 2015 року № 1339, визначаються.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Хто </w:t>
      </w:r>
      <w:bookmarkStart w:id="2" w:name="OLE_LINK1"/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Інструкції про порядок залучення працівників органів досудового розслідування поліції та Експертної служби МВС України як спеціалістів для участі в проведенні огляду місця події, затвердженої наказом МВС України від 03 листопада 2015 року № 1339, </w:t>
      </w:r>
      <w:bookmarkEnd w:id="2"/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забезпечує контроль за якістю роботи спеціалістів під час проведення ОМП і вживає заходів, спрямованих на підвищення ефективності використання ними техніко-криміналістичних засобів.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Чи має право працівник сектору </w:t>
      </w:r>
      <w:proofErr w:type="spellStart"/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автотехнічних</w:t>
      </w:r>
      <w:proofErr w:type="spellEnd"/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досліджень науково-дослідного експертно-криміналістичного центру проводити слідчий експеримент.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 якому з наведених нижче процесуальних кодексів України не передбачені підстави для призначення та умови доручення проведення додаткової та повторної судової експертизи.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 xml:space="preserve">Виходячи з яких даних </w:t>
      </w:r>
      <w:proofErr w:type="spellStart"/>
      <w:r w:rsidRPr="00932303">
        <w:rPr>
          <w:rFonts w:ascii="Times New Roman" w:hAnsi="Times New Roman" w:cs="Times New Roman"/>
          <w:spacing w:val="-2"/>
          <w:sz w:val="28"/>
          <w:szCs w:val="28"/>
        </w:rPr>
        <w:t>експерт-автотехнік</w:t>
      </w:r>
      <w:proofErr w:type="spellEnd"/>
      <w:r w:rsidRPr="00932303">
        <w:rPr>
          <w:rFonts w:ascii="Times New Roman" w:hAnsi="Times New Roman" w:cs="Times New Roman"/>
          <w:spacing w:val="-2"/>
          <w:sz w:val="28"/>
          <w:szCs w:val="28"/>
        </w:rPr>
        <w:t xml:space="preserve"> може встановити швидкість руху автомобіля перед пригодою.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z w:val="28"/>
          <w:szCs w:val="28"/>
        </w:rPr>
        <w:t>При наїзді на пішохода в темний час доби перед розрахунками технічної можливості необхідно встановити.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spellStart"/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идимість</w:t>
      </w:r>
      <w:proofErr w:type="spellEnd"/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напрямку руху</w:t>
      </w:r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робочого</w:t>
      </w:r>
      <w:proofErr w:type="spellEnd"/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</w:t>
      </w:r>
      <w:proofErr w:type="spellStart"/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ісця</w:t>
      </w:r>
      <w:proofErr w:type="spellEnd"/>
      <w:r w:rsidRPr="0093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водія.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В який момент виникає небезпека для руху при перехресному зіткненні для водія, який має право на першочерговий проїзд перехрестя.</w:t>
      </w:r>
      <w:r w:rsidRPr="00932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z w:val="28"/>
          <w:szCs w:val="28"/>
        </w:rPr>
        <w:t>Технічна можливість уникнути зіткнення з перешкодою, яка рухається у попутному напрямку, визначається.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z w:val="28"/>
          <w:szCs w:val="28"/>
        </w:rPr>
        <w:t>У випадку, якщо швидкість руху автомобіля при русі в межах населеного пункту перевищувала допустиму, розрахунок технічної можливості проводиться.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z w:val="28"/>
          <w:szCs w:val="28"/>
        </w:rPr>
        <w:t>Згідно з п. 1.10 Правил дорожнього руху України що таке безпечний інтервал.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z w:val="28"/>
          <w:szCs w:val="28"/>
        </w:rPr>
        <w:t xml:space="preserve">Згідно з п. 1.10 Правил дорожнього руху України що таке </w:t>
      </w:r>
      <w:r w:rsidRPr="00932303">
        <w:rPr>
          <w:rFonts w:ascii="Times New Roman" w:eastAsia="MS Mincho" w:hAnsi="Times New Roman" w:cs="Times New Roman"/>
          <w:sz w:val="28"/>
          <w:szCs w:val="28"/>
        </w:rPr>
        <w:t>безпечна дистанція.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Головне завдання автотехнічної експертизи.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 xml:space="preserve">Які питання вирішує </w:t>
      </w:r>
      <w:proofErr w:type="spellStart"/>
      <w:r w:rsidRPr="00932303">
        <w:rPr>
          <w:rFonts w:ascii="Times New Roman" w:hAnsi="Times New Roman" w:cs="Times New Roman"/>
          <w:spacing w:val="-2"/>
          <w:sz w:val="28"/>
          <w:szCs w:val="28"/>
        </w:rPr>
        <w:t>автотехнічна</w:t>
      </w:r>
      <w:proofErr w:type="spellEnd"/>
      <w:r w:rsidRPr="00932303">
        <w:rPr>
          <w:rFonts w:ascii="Times New Roman" w:hAnsi="Times New Roman" w:cs="Times New Roman"/>
          <w:spacing w:val="-2"/>
          <w:sz w:val="28"/>
          <w:szCs w:val="28"/>
        </w:rPr>
        <w:t xml:space="preserve"> експертиза.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z w:val="28"/>
          <w:szCs w:val="28"/>
        </w:rPr>
        <w:t>Основні системи, що впливають на безпеку руху транспортного засобу.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Етапи перевірки технічного стану транспортного засобу.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Які основні методи використовуються для встановлення та фіксування діагностичних параметрів технічного стану транспортного засобу.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Експрес-діагностика.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Регулювання гальм транспортних засобів з пневматичним приводом.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Ходова частина автомобіля включає.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До основних систем транспортного засобу відносяться.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Основні несправності рульового керування.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Види гальмових приводів механічних транспортних засобів.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До органів управління автомобілем належать.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Протектор.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Гальмівна система.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Несправність (несправний стан).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Діагностування.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Рульове керування.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Основні розміри радіальних шин позначають.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Призначення трансмісії автомобіля.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Підвіска автомобіля.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Несправність.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Алгоритм проведення візуального огляду досліджуваних систем.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32303">
        <w:rPr>
          <w:rFonts w:ascii="Times New Roman" w:hAnsi="Times New Roman" w:cs="Times New Roman"/>
          <w:sz w:val="28"/>
          <w:szCs w:val="28"/>
        </w:rPr>
        <w:t>Слідоутворюючий</w:t>
      </w:r>
      <w:proofErr w:type="spellEnd"/>
      <w:r w:rsidRPr="00932303">
        <w:rPr>
          <w:rFonts w:ascii="Times New Roman" w:hAnsi="Times New Roman" w:cs="Times New Roman"/>
          <w:sz w:val="28"/>
          <w:szCs w:val="28"/>
        </w:rPr>
        <w:t xml:space="preserve"> об’єкт.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lastRenderedPageBreak/>
        <w:t>Сліди коліс з точки зору транспортної трасології.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z w:val="28"/>
          <w:szCs w:val="28"/>
        </w:rPr>
        <w:t>Кут зіткнення.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32303">
        <w:rPr>
          <w:rFonts w:ascii="Times New Roman" w:hAnsi="Times New Roman" w:cs="Times New Roman"/>
          <w:sz w:val="28"/>
          <w:szCs w:val="28"/>
        </w:rPr>
        <w:t>Слідосприймаючий</w:t>
      </w:r>
      <w:proofErr w:type="spellEnd"/>
      <w:r w:rsidRPr="00932303">
        <w:rPr>
          <w:rFonts w:ascii="Times New Roman" w:hAnsi="Times New Roman" w:cs="Times New Roman"/>
          <w:sz w:val="28"/>
          <w:szCs w:val="28"/>
        </w:rPr>
        <w:t xml:space="preserve"> об’єкт.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Сліди, залишені потерпілими при наїзді.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Сліди ковзання частин транспортного засобу.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Сліди юза.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Ознаки наїзду транспортного засобу на пішохода.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Зустрічне зіткнення.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Попутне зіткнення.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Предмет транспортно-трасологічної експертизи.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Сліди кочення.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Один з основних складових елементів пневматичної шини.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Ідентифікаційні ознаки шин.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Характер взаємодії при ударі транспортного засобу.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z w:val="28"/>
          <w:szCs w:val="28"/>
        </w:rPr>
        <w:t>По осколках розсіювача фар можна встановити.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Сліди, які виникають при наїзді на пішохода.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Види дорожньо-транспортних пригод.</w:t>
      </w:r>
    </w:p>
    <w:p w:rsidR="007155BF" w:rsidRPr="00932303" w:rsidRDefault="007155BF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Об’єкти транспортно-трасологічної експертизи.</w:t>
      </w:r>
    </w:p>
    <w:p w:rsidR="00932303" w:rsidRPr="00932303" w:rsidRDefault="00932303" w:rsidP="00932303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Зіткнення транспортних засобів за напрямком руху поділяються.</w:t>
      </w:r>
    </w:p>
    <w:p w:rsidR="00932303" w:rsidRPr="00932303" w:rsidRDefault="00932303" w:rsidP="00932303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z w:val="28"/>
          <w:szCs w:val="28"/>
        </w:rPr>
        <w:t>Основні завдання, що можуть бути вирішені при експертному досліджені слідів та пошкоджень на транспортному засобі.</w:t>
      </w:r>
    </w:p>
    <w:p w:rsidR="00932303" w:rsidRPr="00932303" w:rsidRDefault="00932303" w:rsidP="00932303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Транспортна трасологія.</w:t>
      </w:r>
    </w:p>
    <w:p w:rsidR="00932303" w:rsidRPr="00932303" w:rsidRDefault="00932303" w:rsidP="00932303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Основне завдання транспортної трасології.</w:t>
      </w:r>
    </w:p>
    <w:p w:rsidR="00932303" w:rsidRPr="00932303" w:rsidRDefault="00932303" w:rsidP="00932303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Механізм ДТП.</w:t>
      </w:r>
    </w:p>
    <w:p w:rsidR="00932303" w:rsidRPr="00932303" w:rsidRDefault="00932303" w:rsidP="00932303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Сліди на транспортному засобі.</w:t>
      </w:r>
    </w:p>
    <w:p w:rsidR="00932303" w:rsidRPr="00932303" w:rsidRDefault="00932303" w:rsidP="00932303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Характер взаємодії при ударі транспортного засобу.</w:t>
      </w:r>
    </w:p>
    <w:p w:rsidR="00932303" w:rsidRPr="00932303" w:rsidRDefault="00932303" w:rsidP="00932303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z w:val="28"/>
          <w:szCs w:val="28"/>
        </w:rPr>
        <w:t>Що можна встановити по осколках розсіювача фар.</w:t>
      </w:r>
    </w:p>
    <w:p w:rsidR="00932303" w:rsidRPr="00932303" w:rsidRDefault="00932303" w:rsidP="00932303">
      <w:pPr>
        <w:pStyle w:val="a3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32303">
        <w:rPr>
          <w:rFonts w:ascii="Times New Roman" w:hAnsi="Times New Roman" w:cs="Times New Roman"/>
          <w:spacing w:val="-2"/>
          <w:sz w:val="28"/>
          <w:szCs w:val="28"/>
        </w:rPr>
        <w:t>Яким чином встановлюється механізм взаємодії транспортного засобу з пішоходом.</w:t>
      </w:r>
    </w:p>
    <w:p w:rsidR="007155BF" w:rsidRPr="00932303" w:rsidRDefault="007155B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155BF" w:rsidRPr="00932303" w:rsidSect="007155BF">
      <w:headerReference w:type="default" r:id="rId7"/>
      <w:headerReference w:type="first" r:id="rId8"/>
      <w:pgSz w:w="11906" w:h="16838"/>
      <w:pgMar w:top="737" w:right="567" w:bottom="73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5F" w:rsidRDefault="00E12C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12C5F" w:rsidRDefault="00E12C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5F" w:rsidRDefault="00E12C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12C5F" w:rsidRDefault="00E12C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BF" w:rsidRDefault="004B4020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7155B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A15690">
      <w:rPr>
        <w:rFonts w:ascii="Times New Roman" w:hAnsi="Times New Roman" w:cs="Times New Roman"/>
        <w:noProof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7155BF" w:rsidRDefault="007155BF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BF" w:rsidRDefault="004B4020">
    <w:pPr>
      <w:pStyle w:val="a6"/>
      <w:jc w:val="center"/>
      <w:rPr>
        <w:rFonts w:ascii="Times New Roman" w:hAnsi="Times New Roman" w:cs="Times New Roman"/>
      </w:rPr>
    </w:pPr>
    <w:r>
      <w:fldChar w:fldCharType="begin"/>
    </w:r>
    <w:r w:rsidR="007155BF">
      <w:instrText xml:space="preserve"> PAGE   \* MERGEFORMAT </w:instrText>
    </w:r>
    <w:r>
      <w:fldChar w:fldCharType="separate"/>
    </w:r>
    <w:r w:rsidR="00A15690">
      <w:rPr>
        <w:noProof/>
      </w:rPr>
      <w:t>2</w:t>
    </w:r>
    <w:r>
      <w:fldChar w:fldCharType="end"/>
    </w:r>
  </w:p>
  <w:p w:rsidR="007155BF" w:rsidRDefault="007155B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95"/>
    <w:multiLevelType w:val="hybridMultilevel"/>
    <w:tmpl w:val="1292DDFA"/>
    <w:lvl w:ilvl="0" w:tplc="33046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1522F1B"/>
    <w:multiLevelType w:val="hybridMultilevel"/>
    <w:tmpl w:val="44AC0A00"/>
    <w:lvl w:ilvl="0" w:tplc="29C6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2AB4DB7"/>
    <w:multiLevelType w:val="hybridMultilevel"/>
    <w:tmpl w:val="DE422174"/>
    <w:lvl w:ilvl="0" w:tplc="B192A4D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34619F5"/>
    <w:multiLevelType w:val="hybridMultilevel"/>
    <w:tmpl w:val="40546820"/>
    <w:lvl w:ilvl="0" w:tplc="EFF05E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4">
    <w:nsid w:val="13F31783"/>
    <w:multiLevelType w:val="hybridMultilevel"/>
    <w:tmpl w:val="7C7AD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5">
    <w:nsid w:val="13FD7681"/>
    <w:multiLevelType w:val="hybridMultilevel"/>
    <w:tmpl w:val="4BE606AC"/>
    <w:lvl w:ilvl="0" w:tplc="EEC806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6">
    <w:nsid w:val="14E01142"/>
    <w:multiLevelType w:val="hybridMultilevel"/>
    <w:tmpl w:val="9ED86FEC"/>
    <w:lvl w:ilvl="0" w:tplc="412CB85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9B900B6"/>
    <w:multiLevelType w:val="hybridMultilevel"/>
    <w:tmpl w:val="F3FC8CFC"/>
    <w:lvl w:ilvl="0" w:tplc="0422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8">
    <w:nsid w:val="20B27C0C"/>
    <w:multiLevelType w:val="hybridMultilevel"/>
    <w:tmpl w:val="57523D1E"/>
    <w:lvl w:ilvl="0" w:tplc="82F8C35C">
      <w:start w:val="1"/>
      <w:numFmt w:val="decimal"/>
      <w:lvlText w:val="%1."/>
      <w:lvlJc w:val="left"/>
      <w:pPr>
        <w:ind w:left="1692" w:hanging="1125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9">
    <w:nsid w:val="21B262EE"/>
    <w:multiLevelType w:val="hybridMultilevel"/>
    <w:tmpl w:val="9500941A"/>
    <w:lvl w:ilvl="0" w:tplc="557E5AB0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0">
    <w:nsid w:val="265B2638"/>
    <w:multiLevelType w:val="hybridMultilevel"/>
    <w:tmpl w:val="DCEA8EFA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2">
    <w:nsid w:val="277D1042"/>
    <w:multiLevelType w:val="hybridMultilevel"/>
    <w:tmpl w:val="CF42C4CE"/>
    <w:lvl w:ilvl="0" w:tplc="0422000F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13">
    <w:nsid w:val="3065573F"/>
    <w:multiLevelType w:val="hybridMultilevel"/>
    <w:tmpl w:val="4A5AF070"/>
    <w:lvl w:ilvl="0" w:tplc="3F0ABB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4">
    <w:nsid w:val="310D0C8D"/>
    <w:multiLevelType w:val="hybridMultilevel"/>
    <w:tmpl w:val="A094FF0E"/>
    <w:lvl w:ilvl="0" w:tplc="668EEB4E">
      <w:start w:val="1"/>
      <w:numFmt w:val="decimal"/>
      <w:lvlText w:val="%1."/>
      <w:lvlJc w:val="left"/>
      <w:pPr>
        <w:ind w:left="1692" w:hanging="1125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5">
    <w:nsid w:val="342E7639"/>
    <w:multiLevelType w:val="hybridMultilevel"/>
    <w:tmpl w:val="28C43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396878C1"/>
    <w:multiLevelType w:val="hybridMultilevel"/>
    <w:tmpl w:val="E716CCE4"/>
    <w:lvl w:ilvl="0" w:tplc="6036803C">
      <w:start w:val="1"/>
      <w:numFmt w:val="decimal"/>
      <w:lvlText w:val="%1.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7">
    <w:nsid w:val="39E42288"/>
    <w:multiLevelType w:val="hybridMultilevel"/>
    <w:tmpl w:val="E0AE08D0"/>
    <w:lvl w:ilvl="0" w:tplc="EFF05E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0135108"/>
    <w:multiLevelType w:val="hybridMultilevel"/>
    <w:tmpl w:val="B96C19B0"/>
    <w:lvl w:ilvl="0" w:tplc="412CB852">
      <w:start w:val="1"/>
      <w:numFmt w:val="decimal"/>
      <w:lvlText w:val="%1."/>
      <w:lvlJc w:val="right"/>
      <w:pPr>
        <w:ind w:left="5464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415F1EAF"/>
    <w:multiLevelType w:val="hybridMultilevel"/>
    <w:tmpl w:val="C08A1834"/>
    <w:lvl w:ilvl="0" w:tplc="441C5F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43392137"/>
    <w:multiLevelType w:val="hybridMultilevel"/>
    <w:tmpl w:val="DE422174"/>
    <w:lvl w:ilvl="0" w:tplc="B192A4DC">
      <w:start w:val="1"/>
      <w:numFmt w:val="decimal"/>
      <w:lvlText w:val="%1."/>
      <w:lvlJc w:val="center"/>
      <w:pPr>
        <w:ind w:left="248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43E382F"/>
    <w:multiLevelType w:val="hybridMultilevel"/>
    <w:tmpl w:val="3F7C0A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2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57E95D0C"/>
    <w:multiLevelType w:val="hybridMultilevel"/>
    <w:tmpl w:val="C91CBB12"/>
    <w:lvl w:ilvl="0" w:tplc="EFF05E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60BB3B23"/>
    <w:multiLevelType w:val="hybridMultilevel"/>
    <w:tmpl w:val="01EC2346"/>
    <w:lvl w:ilvl="0" w:tplc="2D2EAC86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6">
    <w:nsid w:val="67586B53"/>
    <w:multiLevelType w:val="hybridMultilevel"/>
    <w:tmpl w:val="4DDA3642"/>
    <w:lvl w:ilvl="0" w:tplc="EFF05E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68B25129"/>
    <w:multiLevelType w:val="hybridMultilevel"/>
    <w:tmpl w:val="8BFE27F8"/>
    <w:lvl w:ilvl="0" w:tplc="0422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8">
    <w:nsid w:val="690938FD"/>
    <w:multiLevelType w:val="hybridMultilevel"/>
    <w:tmpl w:val="0B1EBEE8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47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6DF46682"/>
    <w:multiLevelType w:val="hybridMultilevel"/>
    <w:tmpl w:val="4F8871FC"/>
    <w:lvl w:ilvl="0" w:tplc="441C5F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0">
    <w:nsid w:val="6E865E2D"/>
    <w:multiLevelType w:val="hybridMultilevel"/>
    <w:tmpl w:val="58901F5A"/>
    <w:lvl w:ilvl="0" w:tplc="441C5F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778B5E55"/>
    <w:multiLevelType w:val="hybridMultilevel"/>
    <w:tmpl w:val="BE20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8"/>
  </w:num>
  <w:num w:numId="2">
    <w:abstractNumId w:val="29"/>
  </w:num>
  <w:num w:numId="3">
    <w:abstractNumId w:val="21"/>
  </w:num>
  <w:num w:numId="4">
    <w:abstractNumId w:val="27"/>
  </w:num>
  <w:num w:numId="5">
    <w:abstractNumId w:val="1"/>
  </w:num>
  <w:num w:numId="6">
    <w:abstractNumId w:val="11"/>
  </w:num>
  <w:num w:numId="7">
    <w:abstractNumId w:val="31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0"/>
  </w:num>
  <w:num w:numId="15">
    <w:abstractNumId w:val="10"/>
  </w:num>
  <w:num w:numId="16">
    <w:abstractNumId w:val="16"/>
  </w:num>
  <w:num w:numId="17">
    <w:abstractNumId w:val="5"/>
  </w:num>
  <w:num w:numId="18">
    <w:abstractNumId w:val="25"/>
  </w:num>
  <w:num w:numId="19">
    <w:abstractNumId w:val="14"/>
  </w:num>
  <w:num w:numId="20">
    <w:abstractNumId w:val="8"/>
  </w:num>
  <w:num w:numId="21">
    <w:abstractNumId w:val="3"/>
  </w:num>
  <w:num w:numId="22">
    <w:abstractNumId w:val="26"/>
  </w:num>
  <w:num w:numId="23">
    <w:abstractNumId w:val="23"/>
  </w:num>
  <w:num w:numId="24">
    <w:abstractNumId w:val="17"/>
  </w:num>
  <w:num w:numId="25">
    <w:abstractNumId w:val="24"/>
  </w:num>
  <w:num w:numId="26">
    <w:abstractNumId w:val="18"/>
  </w:num>
  <w:num w:numId="27">
    <w:abstractNumId w:val="19"/>
  </w:num>
  <w:num w:numId="28">
    <w:abstractNumId w:val="22"/>
  </w:num>
  <w:num w:numId="29">
    <w:abstractNumId w:val="7"/>
  </w:num>
  <w:num w:numId="30">
    <w:abstractNumId w:val="4"/>
  </w:num>
  <w:num w:numId="31">
    <w:abstractNumId w:val="2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5BF"/>
    <w:rsid w:val="00055BC0"/>
    <w:rsid w:val="004B4020"/>
    <w:rsid w:val="007155BF"/>
    <w:rsid w:val="007A28F1"/>
    <w:rsid w:val="008E140D"/>
    <w:rsid w:val="00932303"/>
    <w:rsid w:val="00940875"/>
    <w:rsid w:val="00A15690"/>
    <w:rsid w:val="00A1625F"/>
    <w:rsid w:val="00A9785E"/>
    <w:rsid w:val="00C80815"/>
    <w:rsid w:val="00E12C5F"/>
    <w:rsid w:val="00E2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C0"/>
    <w:pPr>
      <w:spacing w:after="200" w:line="276" w:lineRule="auto"/>
    </w:pPr>
    <w:rPr>
      <w:rFonts w:ascii="Calibri" w:hAnsi="Calibri" w:cs="Calibri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055BC0"/>
    <w:pPr>
      <w:keepNext/>
      <w:spacing w:after="0" w:line="240" w:lineRule="auto"/>
      <w:jc w:val="both"/>
      <w:outlineLvl w:val="0"/>
    </w:pPr>
    <w:rPr>
      <w:rFonts w:ascii="MS Sans Serif" w:hAnsi="MS Sans Serif" w:cs="MS Sans Serif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5BC0"/>
    <w:rPr>
      <w:rFonts w:ascii="MS Sans Serif" w:hAnsi="MS Sans Serif" w:cs="MS Sans Serif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5BC0"/>
    <w:pPr>
      <w:ind w:left="720"/>
    </w:pPr>
  </w:style>
  <w:style w:type="paragraph" w:styleId="a4">
    <w:name w:val="Balloon Text"/>
    <w:basedOn w:val="a"/>
    <w:link w:val="a5"/>
    <w:uiPriority w:val="99"/>
    <w:rsid w:val="0005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55B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55B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BC0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055B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BC0"/>
    <w:rPr>
      <w:rFonts w:ascii="Times New Roman" w:hAnsi="Times New Roman" w:cs="Times New Roman"/>
    </w:rPr>
  </w:style>
  <w:style w:type="paragraph" w:styleId="aa">
    <w:name w:val="Body Text"/>
    <w:basedOn w:val="a"/>
    <w:link w:val="ab"/>
    <w:uiPriority w:val="99"/>
    <w:rsid w:val="00055BC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55BC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055BC0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5BC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55BC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055B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5BC0"/>
    <w:rPr>
      <w:rFonts w:ascii="Times New Roman" w:hAnsi="Times New Roman" w:cs="Times New Roman"/>
    </w:rPr>
  </w:style>
  <w:style w:type="paragraph" w:styleId="ae">
    <w:name w:val="Plain Text"/>
    <w:aliases w:val="Текст Знак Знак,Знак Знак1 Знак,Знак Знак1 Знак Знак Знак,Текст1,Знак,Знак Знак"/>
    <w:basedOn w:val="a"/>
    <w:link w:val="12"/>
    <w:uiPriority w:val="99"/>
    <w:rsid w:val="00055BC0"/>
    <w:pPr>
      <w:spacing w:after="0" w:line="240" w:lineRule="auto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12">
    <w:name w:val="Текст Знак1"/>
    <w:aliases w:val="Текст Знак Знак Знак,Знак Знак1 Знак Знак,Знак Знак1 Знак Знак Знак Знак,Текст1 Знак,Знак Знак1,Знак Знак Знак"/>
    <w:basedOn w:val="a0"/>
    <w:link w:val="ae"/>
    <w:uiPriority w:val="99"/>
    <w:rsid w:val="00055BC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">
    <w:name w:val="Текст Знак"/>
    <w:uiPriority w:val="99"/>
    <w:rsid w:val="00055BC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5083</Words>
  <Characters>2898</Characters>
  <Application>Microsoft Office Word</Application>
  <DocSecurity>0</DocSecurity>
  <Lines>24</Lines>
  <Paragraphs>15</Paragraphs>
  <ScaleCrop>false</ScaleCrop>
  <Company>*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Сергій</cp:lastModifiedBy>
  <cp:revision>2</cp:revision>
  <cp:lastPrinted>2016-06-16T07:04:00Z</cp:lastPrinted>
  <dcterms:created xsi:type="dcterms:W3CDTF">2016-09-17T05:59:00Z</dcterms:created>
  <dcterms:modified xsi:type="dcterms:W3CDTF">2016-09-17T05:59:00Z</dcterms:modified>
</cp:coreProperties>
</file>