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4B" w:rsidRDefault="00C36762" w:rsidP="00C36762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ПЕРЕЛІК ПИТАНЬ </w:t>
      </w:r>
    </w:p>
    <w:p w:rsidR="00C36762" w:rsidRPr="00013ACF" w:rsidRDefault="00C36762" w:rsidP="00C36762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ВХІДНОГО ТА ВИХІДНОГО КОНТРОЛЮ</w:t>
      </w:r>
    </w:p>
    <w:p w:rsidR="00C36762" w:rsidRPr="00013ACF" w:rsidRDefault="00C36762" w:rsidP="00C36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кваліфікації завідувачів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секторів криміналістичного дослідження транспортних засобів і реєстраційних документів, що їх супроводжують, </w:t>
      </w:r>
      <w:r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науково-дослідних експертно-криміналістичних центрів МВС України</w:t>
      </w:r>
    </w:p>
    <w:p w:rsidR="00C36762" w:rsidRDefault="00C36762" w:rsidP="00C3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36762" w:rsidRPr="00013ACF" w:rsidRDefault="00C36762" w:rsidP="005A04B1">
      <w:pPr>
        <w:pStyle w:val="a3"/>
        <w:numPr>
          <w:ilvl w:val="0"/>
          <w:numId w:val="3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Правова основа діяльності судового експерта.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завдання Експертної служби МВС України.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ресурси судово-експертної діяльності.</w:t>
      </w:r>
    </w:p>
    <w:p w:rsidR="00C36762" w:rsidRPr="00013ACF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Права експерта при проведенні експертизи.</w:t>
      </w:r>
    </w:p>
    <w:p w:rsidR="00C36762" w:rsidRPr="00013ACF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C36762" w:rsidRPr="00013ACF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Форми міжнародного співробітництва в судово-експертній діяльності.</w:t>
      </w:r>
    </w:p>
    <w:p w:rsidR="00C36762" w:rsidRPr="00013ACF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Правова основа міжнародного співробітництва у галузі судово-експертної діяльності.</w:t>
      </w:r>
    </w:p>
    <w:p w:rsidR="00C36762" w:rsidRPr="00013ACF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Акредитація лабораторій ДНДЕКЦ МВС України за міжнародними стандартами.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Правова основа запровадження системи якості.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Акредитація експертних лабораторій.</w:t>
      </w:r>
    </w:p>
    <w:p w:rsidR="00C36762" w:rsidRPr="00013ACF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Експертна методика.</w:t>
      </w:r>
    </w:p>
    <w:p w:rsidR="00C36762" w:rsidRPr="00013ACF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Види експертних методик.</w:t>
      </w:r>
    </w:p>
    <w:p w:rsidR="00C36762" w:rsidRPr="00013ACF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Відрізок часу, протягом якого об’єкт залишається придатним для ідентифікації.</w:t>
      </w:r>
    </w:p>
    <w:p w:rsidR="00C36762" w:rsidRPr="00013ACF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Класифікація методів дослідження.</w:t>
      </w:r>
    </w:p>
    <w:p w:rsidR="00C36762" w:rsidRPr="00013ACF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Умови криміналістичної ідентифікації.</w:t>
      </w:r>
    </w:p>
    <w:p w:rsidR="00C36762" w:rsidRPr="00013ACF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Процесуальна форма ідентифікації.</w:t>
      </w:r>
    </w:p>
    <w:p w:rsidR="00C36762" w:rsidRPr="00013ACF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Функції експертних методик.</w:t>
      </w:r>
    </w:p>
    <w:p w:rsidR="00C36762" w:rsidRPr="00013ACF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Характер поняття «якість судової експертизи».</w:t>
      </w:r>
    </w:p>
    <w:p w:rsidR="00C36762" w:rsidRPr="00013ACF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Стадії методики експертного дослідження.</w:t>
      </w:r>
    </w:p>
    <w:p w:rsidR="00C36762" w:rsidRPr="00013ACF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Кількісні показники якості експертної роботи.</w:t>
      </w:r>
    </w:p>
    <w:p w:rsidR="00C36762" w:rsidRPr="00013ACF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Документи системи якості у лабораторії.</w:t>
      </w:r>
    </w:p>
    <w:p w:rsidR="00C36762" w:rsidRPr="00013ACF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Документи, в яких встановлюються технічні вимоги до приміщень та умов довкілля.</w:t>
      </w:r>
    </w:p>
    <w:p w:rsidR="00C36762" w:rsidRPr="00013ACF" w:rsidRDefault="00C36762" w:rsidP="00C36762">
      <w:pPr>
        <w:pStyle w:val="ac"/>
        <w:numPr>
          <w:ilvl w:val="0"/>
          <w:numId w:val="32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Поняття управлінської компетентності керівника.</w:t>
      </w:r>
    </w:p>
    <w:p w:rsidR="00C36762" w:rsidRPr="00013ACF" w:rsidRDefault="00C36762" w:rsidP="00C36762">
      <w:pPr>
        <w:pStyle w:val="ac"/>
        <w:numPr>
          <w:ilvl w:val="0"/>
          <w:numId w:val="32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Креативність керівника.</w:t>
      </w:r>
    </w:p>
    <w:p w:rsidR="00C36762" w:rsidRPr="00013ACF" w:rsidRDefault="00C36762" w:rsidP="00C36762">
      <w:pPr>
        <w:pStyle w:val="ac"/>
        <w:numPr>
          <w:ilvl w:val="0"/>
          <w:numId w:val="32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Мотиваційна спрямованість керівника підрозділу Експертної служби МВС України.</w:t>
      </w:r>
    </w:p>
    <w:p w:rsidR="00C36762" w:rsidRPr="00013ACF" w:rsidRDefault="00C36762" w:rsidP="00C36762">
      <w:pPr>
        <w:pStyle w:val="ac"/>
        <w:numPr>
          <w:ilvl w:val="0"/>
          <w:numId w:val="32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color w:val="000000"/>
          <w:sz w:val="28"/>
          <w:szCs w:val="28"/>
        </w:rPr>
        <w:t>Комунікативні професійно-важливі якості керівника підрозділу Експертної служби</w:t>
      </w:r>
      <w:r w:rsidRPr="00013ACF">
        <w:rPr>
          <w:sz w:val="28"/>
          <w:szCs w:val="28"/>
        </w:rPr>
        <w:t xml:space="preserve"> МВС України</w:t>
      </w:r>
      <w:r w:rsidRPr="00013ACF">
        <w:rPr>
          <w:color w:val="000000"/>
          <w:sz w:val="28"/>
          <w:szCs w:val="28"/>
        </w:rPr>
        <w:t>.</w:t>
      </w:r>
    </w:p>
    <w:p w:rsidR="00C36762" w:rsidRPr="00013ACF" w:rsidRDefault="00C36762" w:rsidP="00C36762">
      <w:pPr>
        <w:pStyle w:val="ac"/>
        <w:numPr>
          <w:ilvl w:val="0"/>
          <w:numId w:val="32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Використання керівником типових та звичних способів поведінки та прийняття рішень.</w:t>
      </w:r>
    </w:p>
    <w:p w:rsidR="00C36762" w:rsidRPr="00013ACF" w:rsidRDefault="00C36762" w:rsidP="00C36762">
      <w:pPr>
        <w:pStyle w:val="ac"/>
        <w:numPr>
          <w:ilvl w:val="0"/>
          <w:numId w:val="32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 xml:space="preserve">Характеристика особистості підлеглого як об’єкта управління. </w:t>
      </w:r>
    </w:p>
    <w:p w:rsidR="00C36762" w:rsidRPr="00013ACF" w:rsidRDefault="00C36762" w:rsidP="00C36762">
      <w:pPr>
        <w:pStyle w:val="ac"/>
        <w:numPr>
          <w:ilvl w:val="0"/>
          <w:numId w:val="32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Чинники розуміння керівником мотивів поведінки підлеглих.</w:t>
      </w:r>
    </w:p>
    <w:p w:rsidR="00C36762" w:rsidRPr="00013ACF" w:rsidRDefault="00C36762" w:rsidP="00C36762">
      <w:pPr>
        <w:pStyle w:val="ac"/>
        <w:numPr>
          <w:ilvl w:val="0"/>
          <w:numId w:val="32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color w:val="000000"/>
          <w:sz w:val="28"/>
          <w:szCs w:val="28"/>
        </w:rPr>
        <w:t>Поняття та характеристика управлінського рішення.</w:t>
      </w:r>
    </w:p>
    <w:p w:rsidR="00C36762" w:rsidRPr="00013ACF" w:rsidRDefault="00C36762" w:rsidP="00C3676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lastRenderedPageBreak/>
        <w:t>Визначення конфлікту.</w:t>
      </w:r>
    </w:p>
    <w:p w:rsidR="00C36762" w:rsidRPr="00013ACF" w:rsidRDefault="00C36762" w:rsidP="00C3676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Основні ознаки конфлікту.</w:t>
      </w:r>
    </w:p>
    <w:p w:rsidR="00C36762" w:rsidRPr="00013ACF" w:rsidRDefault="00C36762" w:rsidP="00C36762">
      <w:pPr>
        <w:pStyle w:val="ac"/>
        <w:numPr>
          <w:ilvl w:val="0"/>
          <w:numId w:val="32"/>
        </w:numPr>
        <w:snapToGrid w:val="0"/>
        <w:spacing w:after="0"/>
        <w:ind w:left="0" w:firstLine="709"/>
        <w:jc w:val="both"/>
        <w:rPr>
          <w:sz w:val="28"/>
          <w:szCs w:val="28"/>
        </w:rPr>
      </w:pPr>
      <w:r w:rsidRPr="00013ACF">
        <w:rPr>
          <w:sz w:val="28"/>
          <w:szCs w:val="28"/>
        </w:rPr>
        <w:t>Форми вияву конфліктів в діяльності працівників Експертної служби МВС України.</w:t>
      </w:r>
    </w:p>
    <w:p w:rsidR="00C36762" w:rsidRPr="00013ACF" w:rsidRDefault="00C36762" w:rsidP="00C3676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Характеристика психологічних механізмів самовиправдання та захисту потенційного корупціонера. </w:t>
      </w:r>
    </w:p>
    <w:p w:rsidR="00C36762" w:rsidRPr="00013ACF" w:rsidRDefault="00C36762" w:rsidP="00C3676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Поняття провокації в професійній діяльності працівників підрозділів Експертної служби МВС України.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Правова основа діяльності Експертної служби МВС України.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Експерт у кримінальному провадженні.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Права експерта у кримінальному провадженні.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Обов’язки експерта у кримінальному провадженні.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Відповідальність експерта.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Спеціаліст у кримінальному провадженні.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Права спеціаліста у кримінальному провадженні.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Обов’язки спеціаліста у кримінальному провадженні.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Відповідальність спеціаліста.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Обставини, що виключають участь спеціаліста, експерта в кримінальному провадженні.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Порядок вирішення питання про відвід спеціаліста, експерта. 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Підстави проведення експертизи.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Порядок залучення експерта. 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Висновок експерта: сутність, структура, зміст. 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Оцінка висновку експерта.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Допит експерта: підстави його проведення.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3ACF">
        <w:rPr>
          <w:rFonts w:ascii="Times New Roman" w:eastAsia="Calibri" w:hAnsi="Times New Roman" w:cs="Times New Roman"/>
          <w:spacing w:val="-4"/>
          <w:sz w:val="28"/>
          <w:szCs w:val="28"/>
        </w:rPr>
        <w:t>Процесуальний порядок допиту експерта у кримінальному провадженні.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Порядок та підстави призначення повторної експертизи.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Порядок та підстави призначення додаткової експертизи.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Отримання зразків для експертного дослідження.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Порядок залучення спеціалізованої пересувної лабораторії Експертної служби МВС України для участі у проведенні огляду місця події.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Процесуальні форми взаємодії працівників Експертної служби МВС України з органами досудового розслідування та судом. 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Непроцесуальні форми взаємодії працівників Експертної служби МВС України та органів досудового розслідування.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Базовий рівень накопичення інформації в МВС України.</w:t>
      </w:r>
    </w:p>
    <w:p w:rsidR="00C36762" w:rsidRPr="00013ACF" w:rsidRDefault="00C36762" w:rsidP="00C36762">
      <w:pPr>
        <w:pStyle w:val="a3"/>
        <w:keepNext/>
        <w:numPr>
          <w:ilvl w:val="0"/>
          <w:numId w:val="32"/>
        </w:numPr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Основні способи захисту інформації.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Умови обробки таємної інформації на персональних комп’ютерах.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Принцип формування та використання інформаційних систем МВС України.</w:t>
      </w:r>
    </w:p>
    <w:p w:rsidR="00C36762" w:rsidRPr="00013ACF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 xml:space="preserve">Поняття корупції в Україні. </w:t>
      </w:r>
    </w:p>
    <w:p w:rsidR="00C36762" w:rsidRPr="00013ACF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Близькі особи у розумінні антикорупційного законодавства.</w:t>
      </w:r>
    </w:p>
    <w:p w:rsidR="00C36762" w:rsidRPr="00013ACF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lastRenderedPageBreak/>
        <w:t>Подарунки, які можуть приймати особи, уповноважені на виконання функцій держави.</w:t>
      </w:r>
    </w:p>
    <w:p w:rsidR="00C36762" w:rsidRPr="00013ACF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Дії особи, яка виявила у своєму службовому приміщенні чи отримала майно, що може бути неправомірною вигодою або подарунком.</w:t>
      </w:r>
    </w:p>
    <w:p w:rsidR="00C36762" w:rsidRPr="00013ACF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діяльності.</w:t>
      </w:r>
    </w:p>
    <w:p w:rsidR="00C36762" w:rsidRPr="00013ACF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Оскарження постанови судді у справі про адміністративне правопорушення, пов’язане з корупцією.</w:t>
      </w:r>
    </w:p>
    <w:p w:rsidR="00C36762" w:rsidRPr="00013ACF" w:rsidRDefault="00C36762" w:rsidP="00C3676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трудового договору та його види.</w:t>
      </w:r>
    </w:p>
    <w:p w:rsidR="00C36762" w:rsidRPr="00013ACF" w:rsidRDefault="00C36762" w:rsidP="00C3676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звільнення працівника.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робочого часу та його види.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робочого часу та його види.</w:t>
      </w:r>
    </w:p>
    <w:p w:rsidR="00C36762" w:rsidRPr="005C5984" w:rsidRDefault="00C36762" w:rsidP="00C3676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984"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Соціальні відпустки та порядок їх надання.</w:t>
      </w:r>
    </w:p>
    <w:p w:rsidR="00C36762" w:rsidRPr="005C5984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984">
        <w:rPr>
          <w:rFonts w:ascii="Times New Roman" w:eastAsia="Calibri" w:hAnsi="Times New Roman" w:cs="Times New Roman"/>
          <w:sz w:val="28"/>
          <w:szCs w:val="28"/>
        </w:rPr>
        <w:t>Принцип верховенства права та його реалізація в судово-експертній діяльності.</w:t>
      </w:r>
    </w:p>
    <w:p w:rsidR="00C36762" w:rsidRPr="005C5984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984">
        <w:rPr>
          <w:rFonts w:ascii="Times New Roman" w:eastAsia="Calibri" w:hAnsi="Times New Roman" w:cs="Times New Roman"/>
          <w:sz w:val="28"/>
          <w:szCs w:val="28"/>
        </w:rPr>
        <w:t>Право на приватність.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Повага до людської гідності.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Поняття, сутність та функції державної антикорупційної злочинності.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Правова основа запобігання корупційній злочинності в Україні.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Суб’єкти запобігання корупційній злочинності та їх повноваження.</w:t>
      </w:r>
    </w:p>
    <w:p w:rsidR="00C36762" w:rsidRPr="00013ACF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Причини та умови корупційної злочинності.</w:t>
      </w:r>
    </w:p>
    <w:p w:rsidR="00C36762" w:rsidRPr="00013ACF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Депутатське звернення та терміни його розгляду.</w:t>
      </w:r>
    </w:p>
    <w:p w:rsidR="00C36762" w:rsidRPr="00013ACF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Термін надання відповіді на запит про доступ до публічної інформації.</w:t>
      </w:r>
    </w:p>
    <w:p w:rsidR="00C36762" w:rsidRPr="00013ACF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>Якщо в постанові слідчого про призначення судової експертизи та супровідному документі до постанови зазначено, що в розпорядження судовим експертам направити матеріали кримінального провадження та об’єкт дослідження, але фактично об’єкт дослідження відсутній, керівник відділу (сектору), якому доручено організування виконання судової експертизи повинен.</w:t>
      </w:r>
    </w:p>
    <w:p w:rsidR="00C36762" w:rsidRPr="00013ACF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 транспортні засоби відповідно до пункту 15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 07 вересня 1998 року № 1388, підлягають огляду фахівцями Експертної служби МВС під час проведення державної реєстрації (перереєстрації).</w:t>
      </w:r>
    </w:p>
    <w:p w:rsidR="00C36762" w:rsidRPr="00013ACF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пункту 15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 07 вересня 1998 року № 1388, експертне дослідження під час проведення державної реєстрації (перереєстрації) проводиться.</w:t>
      </w:r>
    </w:p>
    <w:p w:rsidR="00C36762" w:rsidRPr="00013ACF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пункту 15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 07 вересня 1998 року № 1388, установлення відповідності конструкції транспортного засобу під час проведення державної реєстрації (перереєстрації) проводиться.</w:t>
      </w:r>
    </w:p>
    <w:p w:rsidR="00C36762" w:rsidRPr="00013ACF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 пункту 2 розділу ІІ Інструкції з організації взаємодії підрозділів Експертної служби МВС із територіальними органами з надання сервісних послуг МВС, затвердженої наказом МВС України від 18 січня 2016 року № 28, фахівці Експертної служби МВС беруть участь у проведенні державної реєстрації транспортних засобів шляхом.</w:t>
      </w:r>
    </w:p>
    <w:p w:rsidR="00C36762" w:rsidRPr="00013ACF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Згідно з нормою пункту 12 розділу ІІ Інструкції з організації взаємодії підрозділів Експертної служби МВС із територіальними органами з надання сервісних послуг МВС, затвердженої наказом МВС України від 18 січня 2016 року № 28, виїзд фахівця Експертної служби МВС до місця розташування технічно несправного транспортного засобу з метою його огляду дата та час такого огляду повинні завчасно узгоджуватися його власником з.</w:t>
      </w:r>
    </w:p>
    <w:p w:rsidR="00C36762" w:rsidRPr="00013ACF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Фахівці Експертної служби МВС, які беруть участь у проведенні державної реєстрації транспортних засобів у ТСЦ МВС, у частині виконання своїх посадових обов'язків, пов'язаних з участю в проведенні державної реєстрації транспортних засобів, згідно з пунктом 1 розділу ІІІ Інструкції з організації взаємодії підрозділів Експертної служби МВС із територіальними органами з надання сервісних послуг МВС, затвердженої наказом МВС України від 18 січня 2016 року № 28, підпорядковуються.</w:t>
      </w:r>
    </w:p>
    <w:p w:rsidR="00C36762" w:rsidRPr="00013ACF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 пункту 9 розділу ІІ Інструкції з організації взаємодії підрозділів Експертної служби МВС із територіальними органами з надання сервісних послуг МВС, затвердженої наказом МВС України від 18 січня 2016 року № 28, після складання висновку експертного дослідження при проведенні державної реєстрації цей висновок передається фахівцем Експертної служби МВС безпосередньо адміністратору ТСЦ.</w:t>
      </w:r>
    </w:p>
    <w:p w:rsidR="00C36762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разі пошкодження ідентифікаційного номера перша державна реєстрація транспортних засобів відповідно до пункту 15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 них транспортних засобів та мопедів, затвердженого постановою Кабінету Міністрів України від 07 вересня 1998 року № 1388.</w:t>
      </w:r>
    </w:p>
    <w:p w:rsidR="00AB1AC9" w:rsidRPr="00013ACF" w:rsidRDefault="00AB1AC9" w:rsidP="00AB1AC9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6762" w:rsidRPr="00013ACF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Відповідно до примітки до Переліку платних послуг, які надаються підрозділами Міністерства внутрішніх справ, Національної поліції та Державної міграційної служби, і розміру плати за їх надання, затверджених постановою Кабінету Міністрів України від 04 червня 2007 року № 795 (у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редакції постанови Кабінету Міністрів України </w:t>
      </w:r>
      <w:hyperlink r:id="rId8" w:tgtFrame="_blank" w:history="1">
        <w:r w:rsidRPr="00013AC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від 26 жовтня 2011 року №</w:t>
        </w:r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 </w:t>
        </w:r>
        <w:r w:rsidRPr="00013AC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1098</w:t>
        </w:r>
      </w:hyperlink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розмір плати за надання послуг наведено.</w:t>
      </w:r>
    </w:p>
    <w:p w:rsidR="00C36762" w:rsidRPr="00013ACF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пункту 3 Порядку надання підрозділами Міністерства внутрішніх справ, Національної поліції та Державної міграційної служби платних послуг, затвердженого постановою Кабінету Міністрів України від 26 жовтня 2011 року № 1098, прийняття плати за послуги безпосередньо працівниками підрозділів МВС.</w:t>
      </w:r>
    </w:p>
    <w:p w:rsidR="00C36762" w:rsidRPr="00F1264A" w:rsidRDefault="00C36762" w:rsidP="00C367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6762" w:rsidRPr="00F1264A" w:rsidRDefault="00C36762" w:rsidP="00C367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36762" w:rsidRPr="00F1264A" w:rsidSect="00C36762">
      <w:headerReference w:type="default" r:id="rId9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F4" w:rsidRDefault="00264BF4" w:rsidP="003253A5">
      <w:pPr>
        <w:spacing w:after="0" w:line="240" w:lineRule="auto"/>
      </w:pPr>
      <w:r>
        <w:separator/>
      </w:r>
    </w:p>
  </w:endnote>
  <w:endnote w:type="continuationSeparator" w:id="0">
    <w:p w:rsidR="00264BF4" w:rsidRDefault="00264BF4" w:rsidP="003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F4" w:rsidRDefault="00264BF4" w:rsidP="003253A5">
      <w:pPr>
        <w:spacing w:after="0" w:line="240" w:lineRule="auto"/>
      </w:pPr>
      <w:r>
        <w:separator/>
      </w:r>
    </w:p>
  </w:footnote>
  <w:footnote w:type="continuationSeparator" w:id="0">
    <w:p w:rsidR="00264BF4" w:rsidRDefault="00264BF4" w:rsidP="003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201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53A5" w:rsidRPr="003253A5" w:rsidRDefault="002252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53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53A5" w:rsidRPr="003253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53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10FE" w:rsidRPr="009A10F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3253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53A5" w:rsidRDefault="003253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95"/>
    <w:multiLevelType w:val="hybridMultilevel"/>
    <w:tmpl w:val="1292DDFA"/>
    <w:lvl w:ilvl="0" w:tplc="3304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F1B"/>
    <w:multiLevelType w:val="hybridMultilevel"/>
    <w:tmpl w:val="44AC0A00"/>
    <w:lvl w:ilvl="0" w:tplc="29C6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619F5"/>
    <w:multiLevelType w:val="hybridMultilevel"/>
    <w:tmpl w:val="40546820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F31783"/>
    <w:multiLevelType w:val="hybridMultilevel"/>
    <w:tmpl w:val="7C7AD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3FD7681"/>
    <w:multiLevelType w:val="hybridMultilevel"/>
    <w:tmpl w:val="4BE606AC"/>
    <w:lvl w:ilvl="0" w:tplc="EEC8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01142"/>
    <w:multiLevelType w:val="hybridMultilevel"/>
    <w:tmpl w:val="9ED86FEC"/>
    <w:lvl w:ilvl="0" w:tplc="412CB8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00B6"/>
    <w:multiLevelType w:val="hybridMultilevel"/>
    <w:tmpl w:val="F3FC8CF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B27C0C"/>
    <w:multiLevelType w:val="hybridMultilevel"/>
    <w:tmpl w:val="57523D1E"/>
    <w:lvl w:ilvl="0" w:tplc="82F8C35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B262EE"/>
    <w:multiLevelType w:val="hybridMultilevel"/>
    <w:tmpl w:val="9500941A"/>
    <w:lvl w:ilvl="0" w:tplc="557E5A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5B2638"/>
    <w:multiLevelType w:val="hybridMultilevel"/>
    <w:tmpl w:val="DCEA8E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7D1042"/>
    <w:multiLevelType w:val="hybridMultilevel"/>
    <w:tmpl w:val="CF42C4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65573F"/>
    <w:multiLevelType w:val="hybridMultilevel"/>
    <w:tmpl w:val="4A5AF070"/>
    <w:lvl w:ilvl="0" w:tplc="3F0AB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0D0C8D"/>
    <w:multiLevelType w:val="hybridMultilevel"/>
    <w:tmpl w:val="A094FF0E"/>
    <w:lvl w:ilvl="0" w:tplc="668EEB4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2E7639"/>
    <w:multiLevelType w:val="hybridMultilevel"/>
    <w:tmpl w:val="28C43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D116F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878C1"/>
    <w:multiLevelType w:val="hybridMultilevel"/>
    <w:tmpl w:val="E716CCE4"/>
    <w:lvl w:ilvl="0" w:tplc="6036803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E42288"/>
    <w:multiLevelType w:val="hybridMultilevel"/>
    <w:tmpl w:val="E0AE08D0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35108"/>
    <w:multiLevelType w:val="hybridMultilevel"/>
    <w:tmpl w:val="B96C19B0"/>
    <w:lvl w:ilvl="0" w:tplc="412CB852">
      <w:start w:val="1"/>
      <w:numFmt w:val="decimal"/>
      <w:lvlText w:val="%1."/>
      <w:lvlJc w:val="right"/>
      <w:pPr>
        <w:ind w:left="54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F1EAF"/>
    <w:multiLevelType w:val="hybridMultilevel"/>
    <w:tmpl w:val="C08A1834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E382F"/>
    <w:multiLevelType w:val="hybridMultilevel"/>
    <w:tmpl w:val="3F7C0A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95D0C"/>
    <w:multiLevelType w:val="hybridMultilevel"/>
    <w:tmpl w:val="C91CBB12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B3B23"/>
    <w:multiLevelType w:val="hybridMultilevel"/>
    <w:tmpl w:val="01EC2346"/>
    <w:lvl w:ilvl="0" w:tplc="2D2EAC8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586B53"/>
    <w:multiLevelType w:val="hybridMultilevel"/>
    <w:tmpl w:val="4DDA3642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25129"/>
    <w:multiLevelType w:val="hybridMultilevel"/>
    <w:tmpl w:val="8BFE27F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0938FD"/>
    <w:multiLevelType w:val="hybridMultilevel"/>
    <w:tmpl w:val="0B1EB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347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46682"/>
    <w:multiLevelType w:val="hybridMultilevel"/>
    <w:tmpl w:val="4F8871FC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E865E2D"/>
    <w:multiLevelType w:val="hybridMultilevel"/>
    <w:tmpl w:val="58901F5A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8D1454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B5E55"/>
    <w:multiLevelType w:val="hybridMultilevel"/>
    <w:tmpl w:val="BE20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26"/>
  </w:num>
  <w:num w:numId="5">
    <w:abstractNumId w:val="1"/>
  </w:num>
  <w:num w:numId="6">
    <w:abstractNumId w:val="10"/>
  </w:num>
  <w:num w:numId="7">
    <w:abstractNumId w:val="31"/>
  </w:num>
  <w:num w:numId="8">
    <w:abstractNumId w:val="12"/>
  </w:num>
  <w:num w:numId="9">
    <w:abstractNumId w:val="5"/>
  </w:num>
  <w:num w:numId="10">
    <w:abstractNumId w:val="0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9"/>
  </w:num>
  <w:num w:numId="15">
    <w:abstractNumId w:val="9"/>
  </w:num>
  <w:num w:numId="16">
    <w:abstractNumId w:val="16"/>
  </w:num>
  <w:num w:numId="17">
    <w:abstractNumId w:val="4"/>
  </w:num>
  <w:num w:numId="18">
    <w:abstractNumId w:val="24"/>
  </w:num>
  <w:num w:numId="19">
    <w:abstractNumId w:val="13"/>
  </w:num>
  <w:num w:numId="20">
    <w:abstractNumId w:val="7"/>
  </w:num>
  <w:num w:numId="21">
    <w:abstractNumId w:val="2"/>
  </w:num>
  <w:num w:numId="22">
    <w:abstractNumId w:val="25"/>
  </w:num>
  <w:num w:numId="23">
    <w:abstractNumId w:val="22"/>
  </w:num>
  <w:num w:numId="24">
    <w:abstractNumId w:val="17"/>
  </w:num>
  <w:num w:numId="25">
    <w:abstractNumId w:val="23"/>
  </w:num>
  <w:num w:numId="26">
    <w:abstractNumId w:val="18"/>
  </w:num>
  <w:num w:numId="27">
    <w:abstractNumId w:val="19"/>
  </w:num>
  <w:num w:numId="28">
    <w:abstractNumId w:val="21"/>
  </w:num>
  <w:num w:numId="29">
    <w:abstractNumId w:val="6"/>
  </w:num>
  <w:num w:numId="30">
    <w:abstractNumId w:val="3"/>
  </w:num>
  <w:num w:numId="31">
    <w:abstractNumId w:val="3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814FDE"/>
    <w:rsid w:val="00013ACF"/>
    <w:rsid w:val="000178DC"/>
    <w:rsid w:val="000576DC"/>
    <w:rsid w:val="000626A2"/>
    <w:rsid w:val="00072EA3"/>
    <w:rsid w:val="00084F24"/>
    <w:rsid w:val="00096EA5"/>
    <w:rsid w:val="000A1CE2"/>
    <w:rsid w:val="000E42A0"/>
    <w:rsid w:val="000E7D6F"/>
    <w:rsid w:val="000F4B93"/>
    <w:rsid w:val="00104058"/>
    <w:rsid w:val="001416E7"/>
    <w:rsid w:val="00150D86"/>
    <w:rsid w:val="0017366A"/>
    <w:rsid w:val="00191E37"/>
    <w:rsid w:val="00195B90"/>
    <w:rsid w:val="001976A5"/>
    <w:rsid w:val="001B0467"/>
    <w:rsid w:val="001B6088"/>
    <w:rsid w:val="001C0F0E"/>
    <w:rsid w:val="001D3EC8"/>
    <w:rsid w:val="002252B8"/>
    <w:rsid w:val="00227E93"/>
    <w:rsid w:val="0025274C"/>
    <w:rsid w:val="00260C69"/>
    <w:rsid w:val="00264BF4"/>
    <w:rsid w:val="00292715"/>
    <w:rsid w:val="002959DE"/>
    <w:rsid w:val="002C2B06"/>
    <w:rsid w:val="002D11ED"/>
    <w:rsid w:val="002E3B58"/>
    <w:rsid w:val="003253A5"/>
    <w:rsid w:val="00330BB0"/>
    <w:rsid w:val="00364C33"/>
    <w:rsid w:val="003D7335"/>
    <w:rsid w:val="003F25F6"/>
    <w:rsid w:val="003F4C49"/>
    <w:rsid w:val="003F7F15"/>
    <w:rsid w:val="00431687"/>
    <w:rsid w:val="004350BA"/>
    <w:rsid w:val="004400D5"/>
    <w:rsid w:val="00477975"/>
    <w:rsid w:val="004A578E"/>
    <w:rsid w:val="004C0002"/>
    <w:rsid w:val="004C1FED"/>
    <w:rsid w:val="004C458F"/>
    <w:rsid w:val="004D55E0"/>
    <w:rsid w:val="004F5072"/>
    <w:rsid w:val="00503894"/>
    <w:rsid w:val="00515C3F"/>
    <w:rsid w:val="005221CC"/>
    <w:rsid w:val="00537651"/>
    <w:rsid w:val="00573125"/>
    <w:rsid w:val="0058283A"/>
    <w:rsid w:val="005A04B1"/>
    <w:rsid w:val="005A1067"/>
    <w:rsid w:val="005A3BCF"/>
    <w:rsid w:val="005C308F"/>
    <w:rsid w:val="005E639F"/>
    <w:rsid w:val="00651ED7"/>
    <w:rsid w:val="006547E8"/>
    <w:rsid w:val="00654ACC"/>
    <w:rsid w:val="006948D3"/>
    <w:rsid w:val="006B5001"/>
    <w:rsid w:val="006B7D7A"/>
    <w:rsid w:val="006C3663"/>
    <w:rsid w:val="006E74A4"/>
    <w:rsid w:val="00730628"/>
    <w:rsid w:val="0073301C"/>
    <w:rsid w:val="00747BE2"/>
    <w:rsid w:val="00792853"/>
    <w:rsid w:val="0079515F"/>
    <w:rsid w:val="007A0493"/>
    <w:rsid w:val="007A4201"/>
    <w:rsid w:val="007A6E78"/>
    <w:rsid w:val="007A7C23"/>
    <w:rsid w:val="007C1CD5"/>
    <w:rsid w:val="007E480C"/>
    <w:rsid w:val="00802F79"/>
    <w:rsid w:val="00814FDE"/>
    <w:rsid w:val="00831EBA"/>
    <w:rsid w:val="008367BC"/>
    <w:rsid w:val="008A027F"/>
    <w:rsid w:val="008B6FF5"/>
    <w:rsid w:val="008D3CD4"/>
    <w:rsid w:val="008E4D96"/>
    <w:rsid w:val="008E7B62"/>
    <w:rsid w:val="0092725C"/>
    <w:rsid w:val="00936A37"/>
    <w:rsid w:val="00961AAD"/>
    <w:rsid w:val="009903B9"/>
    <w:rsid w:val="009A10FE"/>
    <w:rsid w:val="009A728D"/>
    <w:rsid w:val="009E0694"/>
    <w:rsid w:val="009E24F4"/>
    <w:rsid w:val="009E3BFC"/>
    <w:rsid w:val="009F1CAE"/>
    <w:rsid w:val="009F5F3B"/>
    <w:rsid w:val="00A018C5"/>
    <w:rsid w:val="00A3327B"/>
    <w:rsid w:val="00A60FE0"/>
    <w:rsid w:val="00AA6DEF"/>
    <w:rsid w:val="00AB1AC9"/>
    <w:rsid w:val="00AF41C3"/>
    <w:rsid w:val="00B0668D"/>
    <w:rsid w:val="00B26400"/>
    <w:rsid w:val="00B57548"/>
    <w:rsid w:val="00B579EF"/>
    <w:rsid w:val="00B6187B"/>
    <w:rsid w:val="00B61B17"/>
    <w:rsid w:val="00B87E71"/>
    <w:rsid w:val="00BA0E28"/>
    <w:rsid w:val="00BB3619"/>
    <w:rsid w:val="00BC7E09"/>
    <w:rsid w:val="00BD7B1F"/>
    <w:rsid w:val="00C051CE"/>
    <w:rsid w:val="00C1003A"/>
    <w:rsid w:val="00C21F76"/>
    <w:rsid w:val="00C36762"/>
    <w:rsid w:val="00C50193"/>
    <w:rsid w:val="00C55F31"/>
    <w:rsid w:val="00C633F2"/>
    <w:rsid w:val="00C71662"/>
    <w:rsid w:val="00CA220B"/>
    <w:rsid w:val="00CB0A85"/>
    <w:rsid w:val="00CB5C11"/>
    <w:rsid w:val="00CC3C0E"/>
    <w:rsid w:val="00CE334B"/>
    <w:rsid w:val="00CE5A69"/>
    <w:rsid w:val="00D14AE3"/>
    <w:rsid w:val="00D50497"/>
    <w:rsid w:val="00D647B4"/>
    <w:rsid w:val="00D745C9"/>
    <w:rsid w:val="00DA18D7"/>
    <w:rsid w:val="00DA219C"/>
    <w:rsid w:val="00DB629C"/>
    <w:rsid w:val="00DD6479"/>
    <w:rsid w:val="00DE4DBC"/>
    <w:rsid w:val="00DF1456"/>
    <w:rsid w:val="00DF26EC"/>
    <w:rsid w:val="00E037D7"/>
    <w:rsid w:val="00E10DD4"/>
    <w:rsid w:val="00E41158"/>
    <w:rsid w:val="00EE4C67"/>
    <w:rsid w:val="00EE574A"/>
    <w:rsid w:val="00EF1655"/>
    <w:rsid w:val="00EF5191"/>
    <w:rsid w:val="00F035C8"/>
    <w:rsid w:val="00F1264A"/>
    <w:rsid w:val="00F302C9"/>
    <w:rsid w:val="00F73069"/>
    <w:rsid w:val="00F82E17"/>
    <w:rsid w:val="00FA4EB5"/>
    <w:rsid w:val="00FC4379"/>
    <w:rsid w:val="00FE4531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3A5"/>
  </w:style>
  <w:style w:type="paragraph" w:styleId="a8">
    <w:name w:val="footer"/>
    <w:basedOn w:val="a"/>
    <w:link w:val="a9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3A5"/>
  </w:style>
  <w:style w:type="paragraph" w:styleId="aa">
    <w:name w:val="Body Text"/>
    <w:basedOn w:val="a"/>
    <w:link w:val="ab"/>
    <w:semiHidden/>
    <w:rsid w:val="00173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736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1736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73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95B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6E7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3A5"/>
  </w:style>
  <w:style w:type="paragraph" w:styleId="a8">
    <w:name w:val="footer"/>
    <w:basedOn w:val="a"/>
    <w:link w:val="a9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1098-2011-%D0%B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2956-B6C6-4EA6-BEDE-7552756C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6298</Words>
  <Characters>3590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2</cp:revision>
  <cp:lastPrinted>2016-06-16T06:03:00Z</cp:lastPrinted>
  <dcterms:created xsi:type="dcterms:W3CDTF">2016-06-21T11:34:00Z</dcterms:created>
  <dcterms:modified xsi:type="dcterms:W3CDTF">2016-06-21T11:34:00Z</dcterms:modified>
</cp:coreProperties>
</file>